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C33F" w14:textId="77777777" w:rsidR="00E8648F" w:rsidRDefault="00E8648F" w:rsidP="00E8648F">
      <w:pPr>
        <w:spacing w:after="0"/>
        <w:jc w:val="both"/>
        <w:rPr>
          <w:b/>
          <w:bCs/>
        </w:rPr>
      </w:pPr>
      <w:r w:rsidRPr="00E8648F">
        <w:rPr>
          <w:b/>
          <w:bCs/>
        </w:rPr>
        <w:t xml:space="preserve">Los políticos en España en el verano de 1921. </w:t>
      </w:r>
    </w:p>
    <w:p w14:paraId="3D3F135B" w14:textId="03D54AC0" w:rsidR="002A152C" w:rsidRPr="00E8648F" w:rsidRDefault="00E8648F" w:rsidP="00E8648F">
      <w:pPr>
        <w:spacing w:after="0"/>
        <w:jc w:val="both"/>
        <w:rPr>
          <w:b/>
          <w:bCs/>
        </w:rPr>
      </w:pPr>
      <w:r w:rsidRPr="00E8648F">
        <w:rPr>
          <w:b/>
          <w:bCs/>
        </w:rPr>
        <w:t>C</w:t>
      </w:r>
      <w:r w:rsidR="00287FE1" w:rsidRPr="00E8648F">
        <w:rPr>
          <w:b/>
          <w:bCs/>
        </w:rPr>
        <w:t>iento cuatro años</w:t>
      </w:r>
      <w:r w:rsidRPr="00E8648F">
        <w:rPr>
          <w:b/>
          <w:bCs/>
        </w:rPr>
        <w:t xml:space="preserve"> de</w:t>
      </w:r>
      <w:r>
        <w:rPr>
          <w:b/>
          <w:bCs/>
        </w:rPr>
        <w:t>l</w:t>
      </w:r>
      <w:r w:rsidRPr="00E8648F">
        <w:rPr>
          <w:b/>
          <w:bCs/>
        </w:rPr>
        <w:t xml:space="preserve"> olvido </w:t>
      </w:r>
      <w:r>
        <w:rPr>
          <w:b/>
          <w:bCs/>
        </w:rPr>
        <w:t xml:space="preserve">y </w:t>
      </w:r>
      <w:r w:rsidRPr="00E8648F">
        <w:rPr>
          <w:b/>
          <w:bCs/>
        </w:rPr>
        <w:t>de sus responsabilidades</w:t>
      </w:r>
      <w:r w:rsidR="00287FE1" w:rsidRPr="00E8648F">
        <w:rPr>
          <w:b/>
          <w:bCs/>
        </w:rPr>
        <w:t>.</w:t>
      </w:r>
    </w:p>
    <w:p w14:paraId="06B31808" w14:textId="77777777" w:rsidR="00E8648F" w:rsidRDefault="00E8648F" w:rsidP="00E8648F">
      <w:pPr>
        <w:spacing w:after="0"/>
        <w:jc w:val="both"/>
      </w:pPr>
    </w:p>
    <w:p w14:paraId="6D25A505" w14:textId="6E8C5E58" w:rsidR="00287FE1" w:rsidRDefault="00287FE1" w:rsidP="00735F30">
      <w:pPr>
        <w:jc w:val="both"/>
      </w:pPr>
      <w:r>
        <w:t>Se cumplen entre hoy, 21 de julio de 2025 y mañana, 22 de julio de 2025, el inicio de lo que se conoció como el desastre de Annual. El ejército español sucumbió frente a la horda rifeña por múltiples factores de los que fue responsable el mando militar.</w:t>
      </w:r>
    </w:p>
    <w:p w14:paraId="1E92535D" w14:textId="7FA8E8B6" w:rsidR="00287FE1" w:rsidRDefault="00287FE1" w:rsidP="00735F30">
      <w:pPr>
        <w:jc w:val="both"/>
      </w:pPr>
      <w:r>
        <w:t>Para</w:t>
      </w:r>
      <w:r w:rsidR="006D1B89">
        <w:t xml:space="preserve"> analizar y comprender</w:t>
      </w:r>
      <w:r>
        <w:t xml:space="preserve"> a</w:t>
      </w:r>
      <w:r w:rsidR="006D1B89">
        <w:t xml:space="preserve">quellos </w:t>
      </w:r>
      <w:r>
        <w:t>factores o evaluación de riesgos que</w:t>
      </w:r>
      <w:r w:rsidR="006D1B89">
        <w:t>,</w:t>
      </w:r>
      <w:r>
        <w:t xml:space="preserve"> no </w:t>
      </w:r>
      <w:r w:rsidR="006D1B89">
        <w:t xml:space="preserve">todos </w:t>
      </w:r>
      <w:r>
        <w:t xml:space="preserve">se tuvieron presentes, nos tenemos que remontar un año y medio antes de los sucesos. El 14 de febrero de 1920, el día de los enamorados, tomó posesión del mando de la Comandancia General de Melilla, el General de División Manuel Fernández Silvestre. </w:t>
      </w:r>
    </w:p>
    <w:p w14:paraId="2657B274" w14:textId="22891B2F" w:rsidR="00287FE1" w:rsidRDefault="00287FE1" w:rsidP="00735F30">
      <w:pPr>
        <w:jc w:val="both"/>
      </w:pPr>
      <w:r>
        <w:t>El g</w:t>
      </w:r>
      <w:r w:rsidR="00E5582E">
        <w:t>abinete de turno que gobernaba en esos momentos en España expuso públicamente que, fue acertada la decisión</w:t>
      </w:r>
      <w:r>
        <w:t xml:space="preserve"> de tener a este militar destinado en Melilla, pues era el hombre más adecuado para pacificar el territorio del Rif, sin duda alguna</w:t>
      </w:r>
      <w:r w:rsidR="00E5582E">
        <w:t>. Así fue</w:t>
      </w:r>
      <w:r>
        <w:t xml:space="preserve"> expresado por numerosos dirigentes políticos</w:t>
      </w:r>
      <w:r w:rsidR="006D1B89">
        <w:t xml:space="preserve">. </w:t>
      </w:r>
      <w:r>
        <w:t xml:space="preserve">El General Dámaso Berenguer, que ostentaba el cargo de Alto Comisario para el protectorado de Marruecos, </w:t>
      </w:r>
      <w:r w:rsidR="00E5582E">
        <w:t>compañero de la misma promoción, pero más moderno en el escalafón, tuvo la responsabilidad de dirigir</w:t>
      </w:r>
      <w:r w:rsidR="006D1B89">
        <w:t xml:space="preserve"> la estrategia y</w:t>
      </w:r>
      <w:r w:rsidR="00E5582E">
        <w:t xml:space="preserve"> el mando</w:t>
      </w:r>
      <w:r w:rsidR="006D1B89">
        <w:t xml:space="preserve"> en todo El Protectorado</w:t>
      </w:r>
      <w:r w:rsidR="00E5582E">
        <w:t xml:space="preserve">. </w:t>
      </w:r>
    </w:p>
    <w:p w14:paraId="204D0D17" w14:textId="477DE49A" w:rsidR="006D1B89" w:rsidRDefault="00E5582E" w:rsidP="00735F30">
      <w:pPr>
        <w:jc w:val="both"/>
      </w:pPr>
      <w:r>
        <w:t xml:space="preserve">Desde los puntos de vista periodísticos y mentideros políticos, se creo la falsa imagen que ambos generales estaban enfrentados por el liderazgo del mando y por la carrera establecida de quien de los dos sería el primero en poner un pie en Alhucemas. Aparte de esta inventiva periodística hubo muchas publicaciones afirmando que ambos generales mantenían una rivalidad </w:t>
      </w:r>
      <w:r w:rsidR="00F0793D">
        <w:t>propia de boxeadores en un ring</w:t>
      </w:r>
      <w:r w:rsidR="006D1B89">
        <w:t xml:space="preserve">. </w:t>
      </w:r>
      <w:r>
        <w:t xml:space="preserve">La clase política, </w:t>
      </w:r>
      <w:r w:rsidR="006D1B89">
        <w:t>fue en parte responsable de aquella mala prensa e infame inventiva. L</w:t>
      </w:r>
      <w:r>
        <w:t>a extensa estirpe de incompetentes que desfilaron por el Congreso de los Diputados de la época que formaron parte de los 24 gobierno</w:t>
      </w:r>
      <w:r w:rsidR="00F0793D">
        <w:t>s</w:t>
      </w:r>
      <w:r>
        <w:t xml:space="preserve"> que hubo entre 1906 y 1921, influyeron de </w:t>
      </w:r>
      <w:r w:rsidR="00F0793D">
        <w:t xml:space="preserve">forma decisiva en la estrategia que se marcó para el protectorado de Marruecos. </w:t>
      </w:r>
    </w:p>
    <w:p w14:paraId="04A4BF6F" w14:textId="769DD6F9" w:rsidR="00F0793D" w:rsidRDefault="00F0793D" w:rsidP="00735F30">
      <w:pPr>
        <w:jc w:val="both"/>
      </w:pPr>
      <w:r>
        <w:t xml:space="preserve">A la conferencia Anglo Francesa de 1904, donde España fue invitada para mediar por el conflicto del acorazado Alemán fondeado en la bahía de Tánger, España fue invitada a mediar en ese asunto sin la participación de una representación militar. Sólo lo harían políticos y diplomáticos. En la conferencia de Algeciras de 1906, que marcó el inicio del protectorado español y francés para ejercer una labor de pacificación del territorio, se aplicó la misma representación, repitiendo esa ausencia de militares españoles en esos acuerdos. </w:t>
      </w:r>
    </w:p>
    <w:p w14:paraId="4CDB3428" w14:textId="106CBEFF" w:rsidR="00735F30" w:rsidRDefault="00F0793D" w:rsidP="00735F30">
      <w:pPr>
        <w:jc w:val="both"/>
      </w:pPr>
      <w:r>
        <w:t xml:space="preserve">La política del ejército, el uso de la fuerza de maniobra y la estrategia a realizar sobre aquel territorio, requirió aplicar tácticas que hasta la fecha nuestro ejército no había realizado. Desde la guerra hispano-americana, que finalizó con la pérdida de Cuba, Filipinas, Puerto Rico y las islas Palaos, el ejército de España no había realizado una operación militar de estas características, usar sus fuerzas de modo disuasorio combatiendo a un enemigo que actuaba en modo de guerrilla, aprovechando su superioridad en el terreno </w:t>
      </w:r>
      <w:r w:rsidR="00735F30">
        <w:t>donde se movían.</w:t>
      </w:r>
    </w:p>
    <w:p w14:paraId="03A8A9E1" w14:textId="5232452B" w:rsidR="00735F30" w:rsidRDefault="00735F30" w:rsidP="00735F30">
      <w:pPr>
        <w:jc w:val="both"/>
      </w:pPr>
      <w:r>
        <w:t xml:space="preserve">La clase política se observó afectada por los sucesos del 27 de julio de 1909, cuando el General Pintos al mando de una columna de más de 900 hombres fue atacada por los insurgentes rifeños en las faldas aledañas al monte Gurugú, en el barranco del lobo. Cerca de más de 600 hombres causaron baja de los que más de 300 fallecieron en aquellos combates, incluido el propio general Pintos. La crónica de aquella derrota se extendió como la pólvora en la península y sirvió de excusa para </w:t>
      </w:r>
      <w:r w:rsidR="006D1B89">
        <w:t xml:space="preserve">que </w:t>
      </w:r>
      <w:r>
        <w:t>los líderes de los grupos radicales</w:t>
      </w:r>
      <w:r w:rsidR="006D1B89">
        <w:t xml:space="preserve"> se alzasen</w:t>
      </w:r>
      <w:r>
        <w:t xml:space="preserve"> contra el orden público. </w:t>
      </w:r>
    </w:p>
    <w:p w14:paraId="7191B6AE" w14:textId="77777777" w:rsidR="006D1B89" w:rsidRDefault="006D1B89" w:rsidP="00735F30">
      <w:pPr>
        <w:jc w:val="both"/>
      </w:pPr>
    </w:p>
    <w:p w14:paraId="7BC810A2" w14:textId="36F415EF" w:rsidR="00735F30" w:rsidRDefault="00735F30" w:rsidP="00735F30">
      <w:pPr>
        <w:jc w:val="both"/>
      </w:pPr>
      <w:r>
        <w:lastRenderedPageBreak/>
        <w:t>La conocida como la semana trágica, especialmente en Barcelona reveló a la clase política que, si querían mantener</w:t>
      </w:r>
      <w:r w:rsidR="006D1B89">
        <w:t xml:space="preserve"> a</w:t>
      </w:r>
      <w:r>
        <w:t xml:space="preserve"> España en su estatus de potencia europea participando en acuerdos internacionales, bien mediando, o bien siendo como aliados fuertes, </w:t>
      </w:r>
      <w:r w:rsidR="006D1B89">
        <w:t>como nación había que</w:t>
      </w:r>
      <w:r>
        <w:t xml:space="preserve"> mantener una posición de fuerza</w:t>
      </w:r>
      <w:r w:rsidR="006D1B89">
        <w:t>. La</w:t>
      </w:r>
      <w:r>
        <w:t xml:space="preserve"> clase política se vio obligada a demostrar</w:t>
      </w:r>
      <w:r w:rsidR="006D1B89">
        <w:t xml:space="preserve"> esa fuerza</w:t>
      </w:r>
      <w:r>
        <w:t xml:space="preserve">, pacificando un territorio habitado por una población aún sin civilizar.   </w:t>
      </w:r>
    </w:p>
    <w:p w14:paraId="61A17978" w14:textId="5B7A2933" w:rsidR="00735F30" w:rsidRDefault="00735F30" w:rsidP="00735F30">
      <w:pPr>
        <w:jc w:val="both"/>
      </w:pPr>
      <w:r>
        <w:t xml:space="preserve">La clase política desconocía el ejército. Del General </w:t>
      </w:r>
      <w:r w:rsidR="00D86717">
        <w:t xml:space="preserve">Fernández </w:t>
      </w:r>
      <w:r>
        <w:t xml:space="preserve">Silvestre el Conde de Romanones, posiblemente el político más inhábil e irresponsable que pasó por los gobiernos de España entre 1906 y 1921, </w:t>
      </w:r>
      <w:r w:rsidR="00D86717">
        <w:t xml:space="preserve">afirmó que este militar «No era el más adecuado para arrastrar el sable por los salones de Palacio». Esta mención la realizó cuando el General Fernández Silvestre fue designado como ayudante de campo del Rey Alfonso XIII. De esta relación, los políticos y los periodistas contrarios al régimen monárquico, llegaron a escribir auténticas barbaridades, embustes y falacias sobre la imagen del Rey y del General. </w:t>
      </w:r>
    </w:p>
    <w:p w14:paraId="23111820" w14:textId="28E20FE4" w:rsidR="00D86717" w:rsidRDefault="00D86717" w:rsidP="00735F30">
      <w:pPr>
        <w:jc w:val="both"/>
      </w:pPr>
      <w:r>
        <w:t xml:space="preserve">La clase política, a raíz de las bajas de 1909 tuvo bien claro que El protectorado era necesario para mantener su estatus de capacidad de gobierno </w:t>
      </w:r>
      <w:r w:rsidR="006D1B89">
        <w:t>internacional, sin embargo, n</w:t>
      </w:r>
      <w:r>
        <w:t xml:space="preserve">unca conocieron la civilización que habitaba el Rif y la Yebala, nuca se preocuparon verdaderamente por negociar con sus líderes, más allá del pago en pensiones que se realizaba a los hombres fuertes de cada Kabila o tribu. Los </w:t>
      </w:r>
      <w:r w:rsidR="006D1B89">
        <w:t xml:space="preserve">diferentes </w:t>
      </w:r>
      <w:r>
        <w:t xml:space="preserve">gobiernos </w:t>
      </w:r>
      <w:r w:rsidR="006D1B89">
        <w:t>atendieron</w:t>
      </w:r>
      <w:r>
        <w:t xml:space="preserve"> los informes que procedían de la oficina de asuntos indígenas, que en numerosas ocasiones se usaron para tranquilizar a la población y para no aumentar el presupuesto que se debió de haber aplicado desde un inicio. </w:t>
      </w:r>
    </w:p>
    <w:p w14:paraId="0AB5311C" w14:textId="77777777" w:rsidR="00E8648F" w:rsidRDefault="00D86717" w:rsidP="00E8648F">
      <w:pPr>
        <w:jc w:val="both"/>
      </w:pPr>
      <w:r>
        <w:t>La clase política marcó la estrategia</w:t>
      </w:r>
      <w:r w:rsidR="00E8648F">
        <w:t xml:space="preserve"> de los moros pensionados. </w:t>
      </w:r>
      <w:r w:rsidR="00E8648F" w:rsidRPr="00870FCD">
        <w:t>Esta c</w:t>
      </w:r>
      <w:r w:rsidR="00E8648F">
        <w:t>ompra o adquisición de lealtades</w:t>
      </w:r>
      <w:r w:rsidR="00E8648F" w:rsidRPr="00870FCD">
        <w:t xml:space="preserve"> se h</w:t>
      </w:r>
      <w:r w:rsidR="00E8648F">
        <w:t>izo generalmente</w:t>
      </w:r>
      <w:r w:rsidR="00E8648F" w:rsidRPr="00870FCD">
        <w:t xml:space="preserve">, con </w:t>
      </w:r>
      <w:r w:rsidR="00E8648F">
        <w:t xml:space="preserve">el </w:t>
      </w:r>
      <w:r w:rsidR="00E8648F" w:rsidRPr="00870FCD">
        <w:t xml:space="preserve">dinero </w:t>
      </w:r>
      <w:r w:rsidR="00E8648F">
        <w:t>del banco de España. E</w:t>
      </w:r>
      <w:r w:rsidR="00E8648F" w:rsidRPr="00E55EED">
        <w:t>l Teniente Coronel de Infantería D. Ricardo Fernández Tamarit, jefe del Tercer Batallón del Regimiento África 68</w:t>
      </w:r>
      <w:r w:rsidR="00E8648F">
        <w:t xml:space="preserve">, </w:t>
      </w:r>
      <w:r w:rsidR="00E8648F" w:rsidRPr="00E55EED">
        <w:t xml:space="preserve">en declaración del folio 1.203 </w:t>
      </w:r>
      <w:r w:rsidR="00E8648F">
        <w:t xml:space="preserve">del expediente Picasso, indicó lo siguiente, </w:t>
      </w:r>
    </w:p>
    <w:p w14:paraId="2110A656" w14:textId="5E7A08EC" w:rsidR="00E8648F" w:rsidRDefault="00E8648F" w:rsidP="00E8648F">
      <w:pPr>
        <w:jc w:val="both"/>
      </w:pPr>
      <w:r w:rsidRPr="00E55EED">
        <w:rPr>
          <w:rFonts w:cstheme="minorHAnsi"/>
          <w:i/>
          <w:iCs/>
        </w:rPr>
        <w:t>«</w:t>
      </w:r>
      <w:r w:rsidRPr="00E55EED">
        <w:rPr>
          <w:i/>
          <w:iCs/>
        </w:rPr>
        <w:t xml:space="preserve">En los avances, no se había consolidado nada; se vivía porque los moros de las cabilas lo toleraban, </w:t>
      </w:r>
      <w:proofErr w:type="gramStart"/>
      <w:r w:rsidRPr="00E55EED">
        <w:rPr>
          <w:i/>
          <w:iCs/>
        </w:rPr>
        <w:t>y</w:t>
      </w:r>
      <w:proofErr w:type="gramEnd"/>
      <w:r w:rsidRPr="00E55EED">
        <w:rPr>
          <w:i/>
          <w:iCs/>
        </w:rPr>
        <w:t xml:space="preserve"> además, los mismos moros que se decían recientemente sometidos, sabían de nuestra eficiencia militar lo suficiente, ya que en todas las operaciones la política dejaba en tercer lugar a las fuerzas europeas, en el segundo a las indígenas auxiliares, y confiaba el puesto de vanguardia al Banco de España»</w:t>
      </w:r>
      <w:r>
        <w:t xml:space="preserve"> </w:t>
      </w:r>
    </w:p>
    <w:p w14:paraId="528E8239" w14:textId="5C2B4429" w:rsidR="00E8648F" w:rsidRDefault="00E8648F" w:rsidP="00E8648F">
      <w:pPr>
        <w:jc w:val="both"/>
      </w:pPr>
      <w:r>
        <w:t xml:space="preserve">La clase política española, los políticos de la época, desde el año 1904 hasta el año 1927 fueron los responsables de las decisiones, de la aprobación de los planes y de las estrategias a aplicar sobre un terreno y sobre una civilización que nunca llegaron a conocer, que no quisieron conocer ni tratar, pues los rifeños siempre fueron tildados de salvajes incivilizados, según sus escritos y discursos. En el Congreso de los diputados, en el diario de sesiones los discursos de sus señorías están ahí. Lo lamentable de aquella situación, no es el juicio que podamos hacer hoy con la información que tenemos a nuestro alcance. Lo triste fue </w:t>
      </w:r>
      <w:r w:rsidR="008B1DD7">
        <w:t>que,</w:t>
      </w:r>
      <w:r>
        <w:t xml:space="preserve"> teniendo esa información al alcance de los legisladores de la época, estos se limitasen sólo a responsabilizar a los altos mandos del ejército</w:t>
      </w:r>
      <w:r w:rsidR="008B1DD7">
        <w:t>, cuando la clase política fue tan culpable e irresponsable como los militares.</w:t>
      </w:r>
    </w:p>
    <w:p w14:paraId="699E86D1" w14:textId="2705BB7D" w:rsidR="00E5582E" w:rsidRDefault="008B1DD7" w:rsidP="001755C5">
      <w:pPr>
        <w:jc w:val="both"/>
      </w:pPr>
      <w:r>
        <w:t xml:space="preserve">Bien es cierto que hubo muchos altos mandos que se apresuraron a justificarse en sus declaraciones, cuando llegó el momento de proporcionar información y detalles, </w:t>
      </w:r>
      <w:r w:rsidR="00095163">
        <w:t>sobre lo que fue el desastre de Annual. F</w:t>
      </w:r>
      <w:r>
        <w:t xml:space="preserve">ue mucho más fácil cargar responsabilidades contra quienes no podían defenderse, los muertos o los cautivos, que asumir en primera persona, lo que realmente sucedió. La clase política hábilmente esquivó el juicio público e institucional, </w:t>
      </w:r>
      <w:r w:rsidR="00095163">
        <w:t>incluso cuando</w:t>
      </w:r>
      <w:r>
        <w:t xml:space="preserve"> llegó el golpe de estado del General Primo de Rivera</w:t>
      </w:r>
      <w:r w:rsidR="00095163">
        <w:t xml:space="preserve">, bien recibido por muchos intelectuales, periodistas y políticos de la época. </w:t>
      </w:r>
    </w:p>
    <w:sectPr w:rsidR="00E558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FE1"/>
    <w:rsid w:val="00095163"/>
    <w:rsid w:val="001755C5"/>
    <w:rsid w:val="00287FE1"/>
    <w:rsid w:val="002A152C"/>
    <w:rsid w:val="00412871"/>
    <w:rsid w:val="00452F1D"/>
    <w:rsid w:val="0061430D"/>
    <w:rsid w:val="00621481"/>
    <w:rsid w:val="006D1B89"/>
    <w:rsid w:val="00735F30"/>
    <w:rsid w:val="008B1DD7"/>
    <w:rsid w:val="00A05BCA"/>
    <w:rsid w:val="00A874C9"/>
    <w:rsid w:val="00CD3C94"/>
    <w:rsid w:val="00D86717"/>
    <w:rsid w:val="00E157FE"/>
    <w:rsid w:val="00E5582E"/>
    <w:rsid w:val="00E8648F"/>
    <w:rsid w:val="00F079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4F2C"/>
  <w15:chartTrackingRefBased/>
  <w15:docId w15:val="{8CA6339D-B8B3-4E13-91D0-E82BB1405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87F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87F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87FE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87FE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87FE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87F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87F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87F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87F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7FE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87FE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87FE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87FE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87FE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87F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87F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87F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87FE1"/>
    <w:rPr>
      <w:rFonts w:eastAsiaTheme="majorEastAsia" w:cstheme="majorBidi"/>
      <w:color w:val="272727" w:themeColor="text1" w:themeTint="D8"/>
    </w:rPr>
  </w:style>
  <w:style w:type="paragraph" w:styleId="Ttulo">
    <w:name w:val="Title"/>
    <w:basedOn w:val="Normal"/>
    <w:next w:val="Normal"/>
    <w:link w:val="TtuloCar"/>
    <w:uiPriority w:val="10"/>
    <w:qFormat/>
    <w:rsid w:val="00287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7F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87F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87F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87FE1"/>
    <w:pPr>
      <w:spacing w:before="160"/>
      <w:jc w:val="center"/>
    </w:pPr>
    <w:rPr>
      <w:i/>
      <w:iCs/>
      <w:color w:val="404040" w:themeColor="text1" w:themeTint="BF"/>
    </w:rPr>
  </w:style>
  <w:style w:type="character" w:customStyle="1" w:styleId="CitaCar">
    <w:name w:val="Cita Car"/>
    <w:basedOn w:val="Fuentedeprrafopredeter"/>
    <w:link w:val="Cita"/>
    <w:uiPriority w:val="29"/>
    <w:rsid w:val="00287FE1"/>
    <w:rPr>
      <w:i/>
      <w:iCs/>
      <w:color w:val="404040" w:themeColor="text1" w:themeTint="BF"/>
    </w:rPr>
  </w:style>
  <w:style w:type="paragraph" w:styleId="Prrafodelista">
    <w:name w:val="List Paragraph"/>
    <w:basedOn w:val="Normal"/>
    <w:uiPriority w:val="34"/>
    <w:qFormat/>
    <w:rsid w:val="00287FE1"/>
    <w:pPr>
      <w:ind w:left="720"/>
      <w:contextualSpacing/>
    </w:pPr>
  </w:style>
  <w:style w:type="character" w:styleId="nfasisintenso">
    <w:name w:val="Intense Emphasis"/>
    <w:basedOn w:val="Fuentedeprrafopredeter"/>
    <w:uiPriority w:val="21"/>
    <w:qFormat/>
    <w:rsid w:val="00287FE1"/>
    <w:rPr>
      <w:i/>
      <w:iCs/>
      <w:color w:val="2F5496" w:themeColor="accent1" w:themeShade="BF"/>
    </w:rPr>
  </w:style>
  <w:style w:type="paragraph" w:styleId="Citadestacada">
    <w:name w:val="Intense Quote"/>
    <w:basedOn w:val="Normal"/>
    <w:next w:val="Normal"/>
    <w:link w:val="CitadestacadaCar"/>
    <w:uiPriority w:val="30"/>
    <w:qFormat/>
    <w:rsid w:val="00287F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87FE1"/>
    <w:rPr>
      <w:i/>
      <w:iCs/>
      <w:color w:val="2F5496" w:themeColor="accent1" w:themeShade="BF"/>
    </w:rPr>
  </w:style>
  <w:style w:type="character" w:styleId="Referenciaintensa">
    <w:name w:val="Intense Reference"/>
    <w:basedOn w:val="Fuentedeprrafopredeter"/>
    <w:uiPriority w:val="32"/>
    <w:qFormat/>
    <w:rsid w:val="00287FE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1165</Words>
  <Characters>6410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2025-07-21T07:56:00Z</dcterms:created>
  <dcterms:modified xsi:type="dcterms:W3CDTF">2025-12-16T16:12:00Z</dcterms:modified>
</cp:coreProperties>
</file>